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D1E2F" w14:textId="77777777" w:rsidR="00D53644" w:rsidRPr="00D53644" w:rsidRDefault="00D53644" w:rsidP="00D53644">
      <w:pPr>
        <w:divId w:val="917056501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b/>
          <w:bCs/>
          <w:color w:val="313131"/>
          <w:kern w:val="0"/>
          <w:sz w:val="24"/>
          <w:szCs w:val="24"/>
          <w:bdr w:val="none" w:sz="0" w:space="0" w:color="auto" w:frame="1"/>
          <w14:ligatures w14:val="none"/>
        </w:rPr>
        <w:t>OUTCOME OF ABO-INCOMPATIBLE LIVE DONOR</w:t>
      </w:r>
      <w:r w:rsidRPr="00D53644">
        <w:rPr>
          <w:rFonts w:ascii="Helvetica Neue" w:eastAsia="Times New Roman" w:hAnsi="Helvetica Neue" w:cs="Times New Roman"/>
          <w:b/>
          <w:bCs/>
          <w:color w:val="313131"/>
          <w:kern w:val="0"/>
          <w:sz w:val="24"/>
          <w:szCs w:val="24"/>
          <w:bdr w:val="none" w:sz="0" w:space="0" w:color="auto" w:frame="1"/>
          <w14:ligatures w14:val="none"/>
        </w:rPr>
        <w:br/>
        <w:t>RENAL TRANSPLANT: OUR EXPERIENCE IN TERTIARY CARE CENTRE OF NORTHWEST INDIA</w:t>
      </w:r>
    </w:p>
    <w:p w14:paraId="1CABD46E" w14:textId="77777777" w:rsidR="00D53644" w:rsidRPr="00D53644" w:rsidRDefault="00D53644" w:rsidP="00D53644">
      <w:pPr>
        <w:divId w:val="124390324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07015442" w14:textId="77777777" w:rsidR="00D53644" w:rsidRPr="00D53644" w:rsidRDefault="00D53644" w:rsidP="00D53644">
      <w:pPr>
        <w:divId w:val="7871740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:u w:val="single"/>
          <w:bdr w:val="none" w:sz="0" w:space="0" w:color="auto" w:frame="1"/>
          <w14:ligatures w14:val="none"/>
        </w:rPr>
        <w:t>SINGLA A</w:t>
      </w: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, GODARA SM</w:t>
      </w:r>
    </w:p>
    <w:p w14:paraId="590A28B7" w14:textId="77777777" w:rsidR="00D53644" w:rsidRPr="00D53644" w:rsidRDefault="00D53644" w:rsidP="00D53644">
      <w:pPr>
        <w:divId w:val="8456425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75C8CBEB" w14:textId="77777777" w:rsidR="00D53644" w:rsidRPr="00D53644" w:rsidRDefault="00D53644" w:rsidP="00D53644">
      <w:pPr>
        <w:divId w:val="152188936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1 - Consultant Nephrologist, Max Hospital, Bathinda , Punjab , India</w:t>
      </w:r>
    </w:p>
    <w:p w14:paraId="3343F59A" w14:textId="77777777" w:rsidR="00D53644" w:rsidRPr="00D53644" w:rsidRDefault="00D53644" w:rsidP="00D53644">
      <w:pPr>
        <w:divId w:val="21633170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2 - Prof &amp; HOD , Dept of Nephrology, Mahatma Gandhi College &amp; Hospital, Jaipur, Rajasthan, India</w:t>
      </w:r>
    </w:p>
    <w:p w14:paraId="5131D8C1" w14:textId="77777777" w:rsidR="00D53644" w:rsidRPr="00D53644" w:rsidRDefault="00D53644" w:rsidP="00D53644">
      <w:pPr>
        <w:divId w:val="738139798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411E6779" w14:textId="77777777" w:rsidR="00D53644" w:rsidRDefault="00D53644" w:rsidP="00D53644">
      <w:pPr>
        <w:divId w:val="189900333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</w:p>
    <w:p w14:paraId="36A95707" w14:textId="17290BB2" w:rsidR="00D30C21" w:rsidRDefault="00D30C21" w:rsidP="00D53644">
      <w:pPr>
        <w:divId w:val="1899003337"/>
        <w:rPr>
          <w:rFonts w:eastAsia="Times New Roman" w:cs="Times New Roman"/>
          <w:b/>
          <w:bCs/>
          <w:color w:val="313131"/>
          <w:kern w:val="0"/>
          <w:sz w:val="24"/>
          <w:szCs w:val="24"/>
          <w:u w:val="single"/>
          <w14:ligatures w14:val="none"/>
        </w:rPr>
      </w:pPr>
      <w:r w:rsidRPr="00D30C21">
        <w:rPr>
          <w:rFonts w:eastAsia="Times New Roman" w:cs="Times New Roman"/>
          <w:b/>
          <w:bCs/>
          <w:color w:val="313131"/>
          <w:kern w:val="0"/>
          <w:sz w:val="24"/>
          <w:szCs w:val="24"/>
          <w:u w:val="single"/>
          <w14:ligatures w14:val="none"/>
        </w:rPr>
        <w:t xml:space="preserve">Abstract </w:t>
      </w:r>
    </w:p>
    <w:p w14:paraId="079DB242" w14:textId="77777777" w:rsidR="00356036" w:rsidRPr="00D30C21" w:rsidRDefault="00356036" w:rsidP="00D53644">
      <w:pPr>
        <w:divId w:val="1899003337"/>
        <w:rPr>
          <w:rFonts w:eastAsia="Times New Roman" w:cs="Times New Roman"/>
          <w:b/>
          <w:bCs/>
          <w:color w:val="313131"/>
          <w:kern w:val="0"/>
          <w:sz w:val="24"/>
          <w:szCs w:val="24"/>
          <w:u w:val="single"/>
          <w14:ligatures w14:val="none"/>
        </w:rPr>
      </w:pPr>
    </w:p>
    <w:p w14:paraId="00554CB8" w14:textId="05555BA4" w:rsidR="00D53644" w:rsidRPr="00D53644" w:rsidRDefault="00D53644" w:rsidP="00D53644">
      <w:pPr>
        <w:divId w:val="189900333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Background: Renal transplantation remains the gold standard treatment for end-stage renal disease (ESRD), offering improved quality of life and increased survival rates for patients. </w:t>
      </w:r>
    </w:p>
    <w:p w14:paraId="636CD1D5" w14:textId="77777777" w:rsidR="00D53644" w:rsidRPr="00D53644" w:rsidRDefault="00D53644" w:rsidP="00D53644">
      <w:pPr>
        <w:divId w:val="769158907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Methods: This is a prospective observational study conducted at a tertiary care center in northwest India. A total of 126 patients who underwent living donor ABOi renal transplant admitted under the department of nephrology were </w:t>
      </w:r>
      <w:proofErr w:type="spellStart"/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analyzed</w:t>
      </w:r>
      <w:proofErr w:type="spellEnd"/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 as per their demographic profile, </w:t>
      </w:r>
      <w:proofErr w:type="spellStart"/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desensitization</w:t>
      </w:r>
      <w:proofErr w:type="spellEnd"/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 protocols followed and clinical outcomes, and long-term patient and graft survival rates in ABOi kidney transplants (KT) compared to ABOc transplants. </w:t>
      </w:r>
    </w:p>
    <w:p w14:paraId="60BAD1EA" w14:textId="77777777" w:rsidR="00D53644" w:rsidRPr="00D53644" w:rsidRDefault="00D53644" w:rsidP="00D53644">
      <w:pPr>
        <w:divId w:val="1121610189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Results: Patient survival in this study has been a 96.03% and graft survival was 92.06% at year 1 and 88.09 and 79.36% at year 5 which is comparable to ABOc at our hospital with patient survival 98% and graft survival 94% at year 1 and 90 and 85% at year 5. </w:t>
      </w:r>
    </w:p>
    <w:p w14:paraId="7A13D7B2" w14:textId="77777777" w:rsidR="00D53644" w:rsidRPr="00D53644" w:rsidRDefault="00D53644" w:rsidP="00D53644">
      <w:pPr>
        <w:divId w:val="238172363"/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</w:pPr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Conclusion: Our series demonstrates the efficacy of ABOi transplant, with an excellent survival of both the patient and the graft, without any increase in the incidence of infectious complications. Using a tailored </w:t>
      </w:r>
      <w:proofErr w:type="spellStart"/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>desensitization</w:t>
      </w:r>
      <w:proofErr w:type="spellEnd"/>
      <w:r w:rsidRPr="00D53644">
        <w:rPr>
          <w:rFonts w:ascii="Helvetica Neue" w:eastAsia="Times New Roman" w:hAnsi="Helvetica Neue" w:cs="Times New Roman"/>
          <w:color w:val="313131"/>
          <w:kern w:val="0"/>
          <w:sz w:val="24"/>
          <w:szCs w:val="24"/>
          <w14:ligatures w14:val="none"/>
        </w:rPr>
        <w:t xml:space="preserve"> technique, ABOi living-donor kidney transplant (LDKT) is a safe and feasible option for renal replacement therapy.</w:t>
      </w:r>
    </w:p>
    <w:p w14:paraId="1A192692" w14:textId="77777777" w:rsidR="00D53644" w:rsidRDefault="00D53644"/>
    <w:sectPr w:rsidR="00D536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 Neue">
    <w:panose1 w:val="02000503000000020004"/>
    <w:charset w:val="01"/>
    <w:family w:val="auto"/>
    <w:pitch w:val="variable"/>
    <w:sig w:usb0="E50002FF" w:usb1="500079DB" w:usb2="0000001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644"/>
    <w:rsid w:val="00356036"/>
    <w:rsid w:val="00B05E31"/>
    <w:rsid w:val="00D30C21"/>
    <w:rsid w:val="00D5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B66D08"/>
  <w15:chartTrackingRefBased/>
  <w15:docId w15:val="{5980801A-DD73-8D4A-BAF7-5FC357BD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lang w:val="en-IN" w:eastAsia="en-GB" w:bidi="hi-IN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740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8456425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21633170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24390324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238172363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738139798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76915890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121610189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52188936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89900333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</w:div>
    <w:div w:id="1995714507">
      <w:marLeft w:val="0"/>
      <w:marRight w:val="0"/>
      <w:marTop w:val="0"/>
      <w:marBottom w:val="0"/>
      <w:divBdr>
        <w:top w:val="none" w:sz="0" w:space="0" w:color="313131"/>
        <w:left w:val="none" w:sz="0" w:space="0" w:color="313131"/>
        <w:bottom w:val="none" w:sz="0" w:space="0" w:color="313131"/>
        <w:right w:val="none" w:sz="0" w:space="0" w:color="313131"/>
      </w:divBdr>
      <w:divsChild>
        <w:div w:id="917056501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aseemsingla22</dc:creator>
  <cp:keywords/>
  <dc:description/>
  <cp:lastModifiedBy>Mobile User</cp:lastModifiedBy>
  <cp:revision>4</cp:revision>
  <dcterms:created xsi:type="dcterms:W3CDTF">2024-07-29T07:17:00Z</dcterms:created>
  <dcterms:modified xsi:type="dcterms:W3CDTF">2024-07-29T07:19:00Z</dcterms:modified>
</cp:coreProperties>
</file>