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993AC" w14:textId="414C0EF6" w:rsidR="00EF5667" w:rsidRPr="000C0BB1" w:rsidRDefault="00EF5667" w:rsidP="00EF5667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u w:val="single"/>
          <w:lang w:eastAsia="en-GB" w:bidi="bn-IN"/>
        </w:rPr>
        <w:t>Title:</w:t>
      </w: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 </w:t>
      </w:r>
      <w:r w:rsidR="006E09EA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       </w:t>
      </w:r>
      <w:r w:rsidR="00BF48BE"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USING 2 DIFFERENT DOSING SCHEDULES OF ROXADUSTAT </w:t>
      </w:r>
      <w:r w:rsidR="00BF48BE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FOR THE </w:t>
      </w:r>
      <w:r w:rsidR="00BF48BE"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CORRECTION OF ANEMIA IN MHD PATIENTS</w:t>
      </w:r>
      <w:r w:rsidR="00BF48BE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 </w:t>
      </w:r>
      <w:r w:rsidR="00D86597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(</w:t>
      </w:r>
      <w:r w:rsidR="00D86597"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50mg versus 100mg</w:t>
      </w:r>
      <w:r w:rsidR="00D86597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)</w:t>
      </w:r>
    </w:p>
    <w:p w14:paraId="2F12EF46" w14:textId="77777777" w:rsidR="00EF5667" w:rsidRPr="000C0BB1" w:rsidRDefault="00EF5667" w:rsidP="00EF5667">
      <w:pPr>
        <w:shd w:val="clear" w:color="auto" w:fill="FFFFFF"/>
        <w:spacing w:after="0" w:line="360" w:lineRule="auto"/>
        <w:outlineLvl w:val="0"/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</w:pPr>
    </w:p>
    <w:p w14:paraId="04721657" w14:textId="685F0E9B" w:rsidR="00EF5667" w:rsidRPr="000C0BB1" w:rsidRDefault="00EF5667" w:rsidP="00EF5667">
      <w:pPr>
        <w:shd w:val="clear" w:color="auto" w:fill="FFFFFF"/>
        <w:spacing w:after="0" w:line="360" w:lineRule="auto"/>
        <w:outlineLvl w:val="0"/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</w:pPr>
      <w:r w:rsidRPr="000C0BB1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>Authors: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 xml:space="preserve">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vertAlign w:val="superscript"/>
          <w:lang w:eastAsia="en-GB" w:bidi="bn-IN"/>
        </w:rPr>
        <w:t xml:space="preserve">1,2 </w:t>
      </w:r>
      <w:r w:rsidRPr="00D86597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>Iqbal</w:t>
      </w:r>
      <w:r w:rsidR="00EB5EE6" w:rsidRPr="00EB5EE6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 xml:space="preserve"> </w:t>
      </w:r>
      <w:r w:rsidR="00EB5EE6" w:rsidRPr="00D86597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 xml:space="preserve">M </w:t>
      </w:r>
      <w:proofErr w:type="spellStart"/>
      <w:r w:rsidR="00EB5EE6" w:rsidRPr="00D86597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>M</w:t>
      </w:r>
      <w:proofErr w:type="spellEnd"/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 xml:space="preserve">, </w:t>
      </w:r>
      <w:r w:rsidR="00C203FC" w:rsidRPr="000C0BB1">
        <w:rPr>
          <w:rFonts w:ascii="Arial Narrow" w:eastAsia="Times New Roman" w:hAnsi="Arial Narrow" w:cs="Arial"/>
          <w:color w:val="202227"/>
          <w:spacing w:val="-2"/>
          <w:kern w:val="36"/>
          <w:sz w:val="20"/>
          <w:szCs w:val="20"/>
          <w:vertAlign w:val="superscript"/>
          <w:lang w:eastAsia="en-GB" w:bidi="bn-IN"/>
        </w:rPr>
        <w:t xml:space="preserve">1 </w:t>
      </w:r>
      <w:r w:rsidR="00C203FC" w:rsidRPr="000C0BB1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Shahnoor </w:t>
      </w:r>
      <w:r w:rsidR="00EB5EE6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KA</w:t>
      </w:r>
      <w:r w:rsidR="00C203FC" w:rsidRPr="000C0BB1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,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vertAlign w:val="superscript"/>
          <w:lang w:eastAsia="en-GB" w:bidi="bn-IN"/>
        </w:rPr>
        <w:t xml:space="preserve">1 </w:t>
      </w:r>
      <w:proofErr w:type="spellStart"/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>Ripa</w:t>
      </w:r>
      <w:proofErr w:type="spellEnd"/>
      <w:r w:rsidR="00EB5EE6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 xml:space="preserve"> RA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 xml:space="preserve">,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vertAlign w:val="superscript"/>
          <w:lang w:eastAsia="en-GB" w:bidi="bn-IN"/>
        </w:rPr>
        <w:t xml:space="preserve">3 </w:t>
      </w:r>
      <w:r w:rsidRPr="000C0BB1">
        <w:rPr>
          <w:rFonts w:ascii="Arial Narrow" w:eastAsia="Times New Roman" w:hAnsi="Arial Narrow" w:cs="Arial"/>
          <w:color w:val="000000" w:themeColor="text1"/>
          <w:sz w:val="20"/>
          <w:szCs w:val="20"/>
          <w:shd w:val="clear" w:color="auto" w:fill="FFFFFF"/>
          <w:lang w:val="en-US"/>
        </w:rPr>
        <w:t>Naher</w:t>
      </w:r>
      <w:r w:rsidR="00EB5EE6">
        <w:rPr>
          <w:rFonts w:ascii="Arial Narrow" w:eastAsia="Times New Roman" w:hAnsi="Arial Narrow" w:cs="Arial"/>
          <w:color w:val="000000" w:themeColor="text1"/>
          <w:sz w:val="20"/>
          <w:szCs w:val="20"/>
          <w:shd w:val="clear" w:color="auto" w:fill="FFFFFF"/>
          <w:lang w:val="en-US"/>
        </w:rPr>
        <w:t xml:space="preserve"> KUMS</w:t>
      </w:r>
      <w:r w:rsidRPr="000C0BB1">
        <w:rPr>
          <w:rFonts w:ascii="Arial Narrow" w:eastAsia="Times New Roman" w:hAnsi="Arial Narrow" w:cs="Arial"/>
          <w:color w:val="000000" w:themeColor="text1"/>
          <w:sz w:val="20"/>
          <w:szCs w:val="20"/>
          <w:shd w:val="clear" w:color="auto" w:fill="FFFFFF"/>
          <w:lang w:val="en-US"/>
        </w:rPr>
        <w:t>,</w:t>
      </w:r>
      <w:r w:rsidRPr="000C0BB1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 Alam</w:t>
      </w:r>
      <w:r w:rsidR="00AE4413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 MB</w:t>
      </w:r>
    </w:p>
    <w:p w14:paraId="27CFCD24" w14:textId="77777777" w:rsidR="00EF5667" w:rsidRPr="000C0BB1" w:rsidRDefault="00EF5667" w:rsidP="00EF5667">
      <w:pPr>
        <w:shd w:val="clear" w:color="auto" w:fill="FFFFFF"/>
        <w:spacing w:after="0" w:line="360" w:lineRule="auto"/>
        <w:outlineLvl w:val="0"/>
        <w:rPr>
          <w:rFonts w:ascii="Arial Narrow" w:eastAsia="Times New Roman" w:hAnsi="Arial Narrow" w:cs="Arial"/>
          <w:color w:val="000000" w:themeColor="text1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u w:val="single"/>
          <w:lang w:eastAsia="en-GB" w:bidi="bn-IN"/>
        </w:rPr>
        <w:t>Affiliations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: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vertAlign w:val="superscript"/>
          <w:lang w:eastAsia="en-GB" w:bidi="bn-IN"/>
        </w:rPr>
        <w:t>1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lang w:eastAsia="en-GB" w:bidi="bn-IN"/>
        </w:rPr>
        <w:t xml:space="preserve">Nephrology, NIKDU;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vertAlign w:val="superscript"/>
          <w:lang w:eastAsia="en-GB" w:bidi="bn-IN"/>
        </w:rPr>
        <w:t>2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lang w:eastAsia="en-GB" w:bidi="bn-IN"/>
        </w:rPr>
        <w:t xml:space="preserve">KDRG and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vertAlign w:val="superscript"/>
          <w:lang w:eastAsia="en-GB" w:bidi="bn-IN"/>
        </w:rPr>
        <w:t>3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lang w:eastAsia="en-GB" w:bidi="bn-IN"/>
        </w:rPr>
        <w:t>Sandors; Bangladesh</w:t>
      </w:r>
    </w:p>
    <w:p w14:paraId="69FDA722" w14:textId="77777777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b/>
          <w:spacing w:val="-2"/>
          <w:kern w:val="36"/>
          <w:lang w:eastAsia="en-GB" w:bidi="bn-IN"/>
        </w:rPr>
      </w:pPr>
    </w:p>
    <w:p w14:paraId="1C239897" w14:textId="77777777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spacing w:val="-2"/>
          <w:kern w:val="36"/>
          <w:lang w:eastAsia="en-GB" w:bidi="bn-IN"/>
        </w:rPr>
        <w:t>Background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: </w:t>
      </w:r>
      <w:r w:rsidRPr="000C0BB1">
        <w:rPr>
          <w:rFonts w:ascii="Arial Narrow" w:hAnsi="Arial Narrow" w:cs="Arial"/>
          <w:shd w:val="clear" w:color="auto" w:fill="FFFFFF"/>
        </w:rPr>
        <w:t>Roxadustat</w:t>
      </w:r>
      <w:r>
        <w:rPr>
          <w:rFonts w:ascii="Arial Narrow" w:hAnsi="Arial Narrow" w:cs="Arial"/>
          <w:shd w:val="clear" w:color="auto" w:fill="FFFFFF"/>
        </w:rPr>
        <w:t xml:space="preserve"> </w:t>
      </w:r>
      <w:r w:rsidRPr="000C0BB1">
        <w:rPr>
          <w:rFonts w:ascii="Arial Narrow" w:hAnsi="Arial Narrow" w:cs="Arial"/>
          <w:i/>
          <w:iCs/>
          <w:shd w:val="clear" w:color="auto" w:fill="FFFFFF"/>
        </w:rPr>
        <w:t>,</w:t>
      </w:r>
      <w:r w:rsidRPr="000C0BB1">
        <w:rPr>
          <w:rFonts w:ascii="Arial Narrow" w:hAnsi="Arial Narrow" w:cs="Arial"/>
          <w:shd w:val="clear" w:color="auto" w:fill="FFFFFF"/>
        </w:rPr>
        <w:t xml:space="preserve"> </w:t>
      </w:r>
      <w:hyperlink r:id="rId6" w:history="1">
        <w:r w:rsidRPr="000C0BB1">
          <w:rPr>
            <w:rStyle w:val="Hyperlink"/>
            <w:rFonts w:ascii="Arial Narrow" w:hAnsi="Arial Narrow" w:cs="Arial"/>
            <w:color w:val="auto"/>
            <w:u w:val="none"/>
            <w:shd w:val="clear" w:color="auto" w:fill="FFFFFF"/>
          </w:rPr>
          <w:t>HIF prolyl-hydroxylase inhibitor</w:t>
        </w:r>
      </w:hyperlink>
      <w:r w:rsidRPr="000C0BB1">
        <w:rPr>
          <w:rFonts w:ascii="Arial Narrow" w:hAnsi="Arial Narrow" w:cs="Arial"/>
          <w:shd w:val="clear" w:color="auto" w:fill="FFFFFF"/>
        </w:rPr>
        <w:t> </w:t>
      </w:r>
      <w:r>
        <w:rPr>
          <w:rFonts w:ascii="Arial Narrow" w:hAnsi="Arial Narrow" w:cs="Arial"/>
          <w:shd w:val="clear" w:color="auto" w:fill="FFFFFF"/>
        </w:rPr>
        <w:t xml:space="preserve">, </w:t>
      </w:r>
      <w:r>
        <w:rPr>
          <w:rFonts w:ascii="Arial Narrow" w:eastAsia="Times New Roman" w:hAnsi="Arial Narrow" w:cs="Arial"/>
          <w:spacing w:val="-2"/>
          <w:kern w:val="36"/>
          <w:lang w:eastAsia="en-GB" w:bidi="bn-IN"/>
        </w:rPr>
        <w:t>a d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>ifferent type of ESA</w:t>
      </w:r>
      <w:r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 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 </w:t>
      </w:r>
      <w:r>
        <w:rPr>
          <w:rFonts w:ascii="Arial Narrow" w:eastAsia="Times New Roman" w:hAnsi="Arial Narrow" w:cs="Arial"/>
          <w:spacing w:val="-2"/>
          <w:kern w:val="36"/>
          <w:lang w:eastAsia="en-GB" w:bidi="bn-IN"/>
        </w:rPr>
        <w:t>is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 </w:t>
      </w:r>
      <w:r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now being 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used for correction of </w:t>
      </w:r>
      <w:proofErr w:type="spellStart"/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>anemia</w:t>
      </w:r>
      <w:proofErr w:type="spellEnd"/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 in dialysis population.</w:t>
      </w:r>
      <w:r w:rsidRPr="000C0BB1">
        <w:rPr>
          <w:rFonts w:ascii="Arial Narrow" w:hAnsi="Arial Narrow" w:cs="Arial"/>
          <w:b/>
          <w:bCs/>
          <w:shd w:val="clear" w:color="auto" w:fill="FFFFFF"/>
        </w:rPr>
        <w:t xml:space="preserve"> </w:t>
      </w:r>
    </w:p>
    <w:p w14:paraId="308ACBE1" w14:textId="07AB68D6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Aim:</w:t>
      </w:r>
      <w:r w:rsidRPr="000C0BB1">
        <w:rPr>
          <w:rFonts w:ascii="Arial Narrow" w:eastAsia="Times New Roman" w:hAnsi="Arial Narrow" w:cs="Arial"/>
          <w:bCs/>
          <w:color w:val="202227"/>
          <w:spacing w:val="-2"/>
          <w:kern w:val="36"/>
          <w:lang w:eastAsia="en-GB" w:bidi="bn-IN"/>
        </w:rPr>
        <w:t xml:space="preserve"> In this study</w:t>
      </w: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 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response to Roxadustat for correction of </w:t>
      </w:r>
      <w:proofErr w:type="spellStart"/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>anemia</w:t>
      </w:r>
      <w:proofErr w:type="spellEnd"/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 with 2 dosing schedules (50 mg vs. 100mg) among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red cell transfusion (RCT) 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dependent MHD patients was compared. </w:t>
      </w:r>
    </w:p>
    <w:p w14:paraId="57BC3DC5" w14:textId="604951E5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Methods: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 This was a randomized </w:t>
      </w:r>
      <w:r w:rsidRPr="000C0BB1">
        <w:rPr>
          <w:rFonts w:ascii="Arial Narrow" w:hAnsi="Arial Narrow"/>
        </w:rPr>
        <w:t>open label parallel group study conducted in Dialysis Unit of NIKDU</w:t>
      </w:r>
      <w:r>
        <w:rPr>
          <w:rFonts w:ascii="Arial Narrow" w:hAnsi="Arial Narrow"/>
        </w:rPr>
        <w:t>, Bangladesh</w:t>
      </w:r>
      <w:r w:rsidRPr="000C0BB1">
        <w:rPr>
          <w:rFonts w:ascii="Arial Narrow" w:hAnsi="Arial Narrow"/>
        </w:rPr>
        <w:t>.</w:t>
      </w:r>
      <w:r w:rsidRPr="000C0BB1">
        <w:rPr>
          <w:rFonts w:ascii="Arial Narrow" w:hAnsi="Arial Narrow" w:cs="Segoe UI"/>
          <w:color w:val="202227"/>
          <w:shd w:val="clear" w:color="auto" w:fill="FFFFFF"/>
        </w:rPr>
        <w:t xml:space="preserve"> MHD subjects who were dependent on only blood transfusion for </w:t>
      </w:r>
      <w:proofErr w:type="spellStart"/>
      <w:r w:rsidRPr="000C0BB1">
        <w:rPr>
          <w:rFonts w:ascii="Arial Narrow" w:hAnsi="Arial Narrow" w:cs="Segoe UI"/>
          <w:color w:val="202227"/>
          <w:shd w:val="clear" w:color="auto" w:fill="FFFFFF"/>
        </w:rPr>
        <w:t>anemia</w:t>
      </w:r>
      <w:proofErr w:type="spellEnd"/>
      <w:r w:rsidRPr="000C0BB1">
        <w:rPr>
          <w:rFonts w:ascii="Arial Narrow" w:hAnsi="Arial Narrow" w:cs="Segoe UI"/>
          <w:color w:val="202227"/>
          <w:shd w:val="clear" w:color="auto" w:fill="FFFFFF"/>
        </w:rPr>
        <w:t xml:space="preserve"> correction were included here. </w:t>
      </w:r>
      <w:r>
        <w:rPr>
          <w:rFonts w:ascii="Arial Narrow" w:hAnsi="Arial Narrow" w:cs="Segoe UI"/>
          <w:color w:val="202227"/>
          <w:shd w:val="clear" w:color="auto" w:fill="FFFFFF"/>
        </w:rPr>
        <w:t xml:space="preserve">They </w:t>
      </w:r>
      <w:r w:rsidRPr="000C0BB1">
        <w:rPr>
          <w:rFonts w:ascii="Arial Narrow" w:hAnsi="Arial Narrow"/>
          <w:color w:val="212121"/>
          <w:shd w:val="clear" w:color="auto" w:fill="FFFFFF"/>
        </w:rPr>
        <w:t xml:space="preserve">were divided in 2 groups. </w:t>
      </w:r>
      <w:r w:rsidRPr="000C0BB1">
        <w:rPr>
          <w:rFonts w:ascii="Arial Narrow" w:hAnsi="Arial Narrow"/>
        </w:rPr>
        <w:t xml:space="preserve">Group-1: </w:t>
      </w:r>
      <w:r w:rsidR="00D86597">
        <w:rPr>
          <w:rFonts w:ascii="Arial Narrow" w:hAnsi="Arial Narrow"/>
        </w:rPr>
        <w:t>for</w:t>
      </w:r>
      <w:r w:rsidRPr="000C0BB1">
        <w:rPr>
          <w:rFonts w:ascii="Arial Narrow" w:hAnsi="Arial Narrow"/>
        </w:rPr>
        <w:t xml:space="preserve"> Roxadustat 50 mg and Group-2:  100 mg</w:t>
      </w:r>
      <w:r>
        <w:rPr>
          <w:rFonts w:ascii="Arial Narrow" w:hAnsi="Arial Narrow"/>
        </w:rPr>
        <w:t xml:space="preserve"> </w:t>
      </w:r>
      <w:r w:rsidRPr="000C0BB1">
        <w:rPr>
          <w:rFonts w:ascii="Arial Narrow" w:hAnsi="Arial Narrow"/>
        </w:rPr>
        <w:t>orally 3times/wk. Study was conducted for 3 months</w:t>
      </w:r>
      <w:r>
        <w:rPr>
          <w:rFonts w:ascii="Arial Narrow" w:hAnsi="Arial Narrow"/>
        </w:rPr>
        <w:t xml:space="preserve"> per </w:t>
      </w:r>
      <w:r w:rsidRPr="000C0BB1">
        <w:rPr>
          <w:rFonts w:ascii="Arial Narrow" w:hAnsi="Arial Narrow"/>
        </w:rPr>
        <w:t xml:space="preserve">patient to see the response to 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>Hb</w:t>
      </w:r>
      <w:r w:rsidR="00D86597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 increase</w:t>
      </w:r>
      <w:r w:rsidRPr="000C0BB1">
        <w:rPr>
          <w:rFonts w:ascii="Arial Narrow" w:hAnsi="Arial Narrow"/>
        </w:rPr>
        <w:t>.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 </w:t>
      </w:r>
    </w:p>
    <w:p w14:paraId="6B9A8FE5" w14:textId="7DCCFEEC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iCs/>
          <w:color w:val="202227"/>
          <w:spacing w:val="-2"/>
          <w:kern w:val="36"/>
          <w:lang w:eastAsia="en-GB" w:bidi="bn-IN"/>
        </w:rPr>
        <w:t>Result: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Primarily 84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MHD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patients were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recruited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from which 65 are included in final analysis. Both gr1 (n=32) and gr2 (n=33) were matched 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at baseline</w:t>
      </w:r>
      <w:r w:rsidR="002B773A"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for Hb (8.9±1.5 vs. 8.8±1.</w:t>
      </w:r>
      <w:r w:rsidR="002B773A"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2, g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%), ferritin (1416±977 vs. 1610±</w:t>
      </w:r>
      <w:proofErr w:type="gramStart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780,micg</w:t>
      </w:r>
      <w:proofErr w:type="gramEnd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/l) and urea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clearance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(65±17 vs. 65±12); (P=NS). Changes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of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Hb</w:t>
      </w:r>
      <w:r w:rsidR="00B40F8D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after therapy with study </w:t>
      </w:r>
      <w:proofErr w:type="gramStart"/>
      <w:r w:rsidR="00B40F8D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drug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in</w:t>
      </w:r>
      <w:proofErr w:type="gramEnd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gr1 at 4,8 and 12 weeks w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as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8.8±1.6, 9.1±1.3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&amp;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9.1±1.5, g% (P=NS) and in gr2 9.3±1.5, 9.5±2.3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&amp;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9.5±1.5, g% (P&lt;0.05)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respectively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.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RCT was required only by 30% of 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all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the subjects during trial period and 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this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came down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from 1.1±0.3 unit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/month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at starting of trial to 0.5.0±0.2, unit/month at study end (p&lt;0.02)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.</w:t>
      </w:r>
    </w:p>
    <w:p w14:paraId="238F4286" w14:textId="77BA95FF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iCs/>
          <w:color w:val="202227"/>
          <w:spacing w:val="-2"/>
          <w:kern w:val="36"/>
          <w:lang w:eastAsia="en-GB" w:bidi="bn-IN"/>
        </w:rPr>
        <w:t>Conclusion: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Administering 100 mg Roxadustat showed 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significant and early increase </w:t>
      </w:r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of </w:t>
      </w:r>
      <w:proofErr w:type="spellStart"/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hemoglobin</w:t>
      </w:r>
      <w:proofErr w:type="spellEnd"/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level</w:t>
      </w:r>
      <w:r w:rsidR="00D86597" w:rsidRP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</w:t>
      </w:r>
      <w:r w:rsidR="00D86597"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in MHD patient</w:t>
      </w:r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s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. </w:t>
      </w:r>
      <w:proofErr w:type="gramStart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Also</w:t>
      </w:r>
      <w:proofErr w:type="gramEnd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the use of Roxadustat significantly reduced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the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requirement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of blood transfusion for </w:t>
      </w:r>
      <w:proofErr w:type="spellStart"/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anemia</w:t>
      </w:r>
      <w:proofErr w:type="spellEnd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correction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to half</w:t>
      </w:r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in all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. </w:t>
      </w:r>
    </w:p>
    <w:p w14:paraId="03402560" w14:textId="77777777" w:rsidR="00D86597" w:rsidRDefault="00D8659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b/>
          <w:bCs/>
          <w:iCs/>
          <w:color w:val="202227"/>
          <w:spacing w:val="-2"/>
          <w:kern w:val="36"/>
          <w:lang w:eastAsia="en-GB" w:bidi="bn-IN"/>
        </w:rPr>
      </w:pPr>
    </w:p>
    <w:p w14:paraId="7A9613E1" w14:textId="77777777" w:rsidR="00D86597" w:rsidRDefault="00D8659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b/>
          <w:bCs/>
          <w:iCs/>
          <w:color w:val="202227"/>
          <w:spacing w:val="-2"/>
          <w:kern w:val="36"/>
          <w:lang w:eastAsia="en-GB" w:bidi="bn-IN"/>
        </w:rPr>
      </w:pPr>
    </w:p>
    <w:sectPr w:rsidR="00D86597" w:rsidSect="0001730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D01AE"/>
    <w:multiLevelType w:val="hybridMultilevel"/>
    <w:tmpl w:val="0E52AD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560DC"/>
    <w:multiLevelType w:val="hybridMultilevel"/>
    <w:tmpl w:val="64BE6084"/>
    <w:lvl w:ilvl="0" w:tplc="BE487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8454A"/>
    <w:multiLevelType w:val="hybridMultilevel"/>
    <w:tmpl w:val="F4EA73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010269">
    <w:abstractNumId w:val="2"/>
  </w:num>
  <w:num w:numId="2" w16cid:durableId="646785267">
    <w:abstractNumId w:val="0"/>
  </w:num>
  <w:num w:numId="3" w16cid:durableId="140163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7DB"/>
    <w:rsid w:val="00044085"/>
    <w:rsid w:val="000C0BB1"/>
    <w:rsid w:val="000C2BB7"/>
    <w:rsid w:val="000F2016"/>
    <w:rsid w:val="0015153A"/>
    <w:rsid w:val="0016398E"/>
    <w:rsid w:val="00215B18"/>
    <w:rsid w:val="00233FEA"/>
    <w:rsid w:val="002375AB"/>
    <w:rsid w:val="00254B61"/>
    <w:rsid w:val="002B773A"/>
    <w:rsid w:val="00453A04"/>
    <w:rsid w:val="00504BFB"/>
    <w:rsid w:val="0053496B"/>
    <w:rsid w:val="005F49A1"/>
    <w:rsid w:val="00614C46"/>
    <w:rsid w:val="006252D6"/>
    <w:rsid w:val="0063170F"/>
    <w:rsid w:val="00654711"/>
    <w:rsid w:val="006E09EA"/>
    <w:rsid w:val="006F5BF7"/>
    <w:rsid w:val="00746D5F"/>
    <w:rsid w:val="00752C12"/>
    <w:rsid w:val="00773BAE"/>
    <w:rsid w:val="007D0181"/>
    <w:rsid w:val="0085074F"/>
    <w:rsid w:val="008E310A"/>
    <w:rsid w:val="008E60FD"/>
    <w:rsid w:val="009037DB"/>
    <w:rsid w:val="009A724A"/>
    <w:rsid w:val="009F570C"/>
    <w:rsid w:val="009F6BEB"/>
    <w:rsid w:val="00A61889"/>
    <w:rsid w:val="00AE4413"/>
    <w:rsid w:val="00B04067"/>
    <w:rsid w:val="00B24A7B"/>
    <w:rsid w:val="00B37BE4"/>
    <w:rsid w:val="00B40F8D"/>
    <w:rsid w:val="00B44700"/>
    <w:rsid w:val="00BE25E5"/>
    <w:rsid w:val="00BF48BE"/>
    <w:rsid w:val="00C203FC"/>
    <w:rsid w:val="00CB23F2"/>
    <w:rsid w:val="00D305F0"/>
    <w:rsid w:val="00D44566"/>
    <w:rsid w:val="00D86597"/>
    <w:rsid w:val="00DD2886"/>
    <w:rsid w:val="00DD638C"/>
    <w:rsid w:val="00DF4EAB"/>
    <w:rsid w:val="00EB535B"/>
    <w:rsid w:val="00EB5EE6"/>
    <w:rsid w:val="00EF5667"/>
    <w:rsid w:val="00F44DE5"/>
    <w:rsid w:val="00FE6874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F3472"/>
  <w15:docId w15:val="{236CD562-B78E-45D8-A6B5-E4750D3D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7DB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7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96B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507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n.wikipedia.org/wiki/HIF_prolyl-hydroxylase_inhibit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DEC2-6794-446B-94F5-CCA4785A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bbbb</dc:creator>
  <cp:lastModifiedBy>MdMasud Iqbal</cp:lastModifiedBy>
  <cp:revision>3</cp:revision>
  <dcterms:created xsi:type="dcterms:W3CDTF">2024-09-03T20:20:00Z</dcterms:created>
  <dcterms:modified xsi:type="dcterms:W3CDTF">2024-09-03T20:23:00Z</dcterms:modified>
</cp:coreProperties>
</file>